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5C0" w:rsidRDefault="004F45D3" w:rsidP="00167AF0">
      <w:pPr>
        <w:pStyle w:val="Standard"/>
        <w:suppressLineNumbers/>
        <w:tabs>
          <w:tab w:val="right" w:pos="7920"/>
        </w:tabs>
        <w:spacing w:after="0" w:line="240" w:lineRule="auto"/>
        <w:jc w:val="center"/>
        <w:rPr>
          <w:rFonts w:ascii="Times New Roman" w:eastAsia="Times New Roman" w:hAnsi="Times New Roman" w:cs="Times New Roman"/>
          <w:b/>
          <w:bCs/>
          <w:i/>
          <w:iCs/>
          <w:sz w:val="28"/>
          <w:szCs w:val="28"/>
        </w:rPr>
      </w:pPr>
      <w:r>
        <w:rPr>
          <w:rFonts w:ascii="Times New Roman" w:hAnsi="Times New Roman"/>
          <w:b/>
          <w:bCs/>
          <w:i/>
          <w:iCs/>
          <w:sz w:val="28"/>
          <w:szCs w:val="28"/>
        </w:rPr>
        <w:t>MINA’ TRENTAI KUÅTTRO NA LIHESLATURAN GUÅHAN</w:t>
      </w:r>
    </w:p>
    <w:p w:rsidR="000925C0" w:rsidRDefault="004F45D3" w:rsidP="00167AF0">
      <w:pPr>
        <w:pStyle w:val="Standard"/>
        <w:suppressLineNumbers/>
        <w:tabs>
          <w:tab w:val="left" w:pos="2565"/>
          <w:tab w:val="center" w:pos="4680"/>
          <w:tab w:val="right" w:pos="7920"/>
        </w:tabs>
        <w:spacing w:after="0" w:line="240" w:lineRule="auto"/>
        <w:jc w:val="center"/>
        <w:rPr>
          <w:rFonts w:ascii="Times New Roman" w:eastAsia="Times New Roman" w:hAnsi="Times New Roman" w:cs="Times New Roman"/>
          <w:b/>
          <w:bCs/>
          <w:sz w:val="28"/>
          <w:szCs w:val="28"/>
        </w:rPr>
      </w:pPr>
      <w:r>
        <w:rPr>
          <w:rFonts w:ascii="Times New Roman" w:hAnsi="Times New Roman"/>
          <w:b/>
          <w:bCs/>
          <w:sz w:val="28"/>
          <w:szCs w:val="28"/>
        </w:rPr>
        <w:t>2017 (FIRST) Regular Session</w:t>
      </w:r>
    </w:p>
    <w:p w:rsidR="000925C0" w:rsidRDefault="000925C0" w:rsidP="00167AF0">
      <w:pPr>
        <w:pStyle w:val="Standard"/>
        <w:suppressLineNumbers/>
        <w:spacing w:after="0" w:line="240" w:lineRule="auto"/>
        <w:jc w:val="both"/>
        <w:rPr>
          <w:rFonts w:ascii="Times New Roman" w:eastAsia="Times New Roman" w:hAnsi="Times New Roman" w:cs="Times New Roman"/>
          <w:sz w:val="28"/>
          <w:szCs w:val="28"/>
        </w:rPr>
      </w:pPr>
    </w:p>
    <w:p w:rsidR="000925C0" w:rsidRDefault="004F45D3" w:rsidP="00167AF0">
      <w:pPr>
        <w:pStyle w:val="Standard"/>
        <w:suppressLineNumbers/>
        <w:spacing w:after="0" w:line="240" w:lineRule="auto"/>
        <w:jc w:val="both"/>
        <w:rPr>
          <w:rFonts w:ascii="Times New Roman" w:eastAsia="Times New Roman" w:hAnsi="Times New Roman" w:cs="Times New Roman"/>
          <w:b/>
          <w:bCs/>
          <w:sz w:val="28"/>
          <w:szCs w:val="28"/>
        </w:rPr>
      </w:pPr>
      <w:r>
        <w:rPr>
          <w:rFonts w:ascii="Times New Roman" w:hAnsi="Times New Roman"/>
          <w:b/>
          <w:bCs/>
          <w:sz w:val="28"/>
          <w:szCs w:val="28"/>
        </w:rPr>
        <w:t xml:space="preserve">Bill No. </w:t>
      </w:r>
      <w:r w:rsidR="001F4091">
        <w:rPr>
          <w:rFonts w:ascii="Times New Roman" w:hAnsi="Times New Roman"/>
          <w:b/>
          <w:bCs/>
          <w:sz w:val="28"/>
          <w:szCs w:val="28"/>
        </w:rPr>
        <w:t>129</w:t>
      </w:r>
      <w:r>
        <w:rPr>
          <w:rFonts w:ascii="Times New Roman" w:hAnsi="Times New Roman"/>
          <w:b/>
          <w:bCs/>
          <w:sz w:val="28"/>
          <w:szCs w:val="28"/>
        </w:rPr>
        <w:t>-34 (</w:t>
      </w:r>
      <w:r w:rsidR="001F4091">
        <w:rPr>
          <w:rFonts w:ascii="Times New Roman" w:hAnsi="Times New Roman"/>
          <w:b/>
          <w:bCs/>
          <w:sz w:val="28"/>
          <w:szCs w:val="28"/>
        </w:rPr>
        <w:t>COR</w:t>
      </w:r>
      <w:r>
        <w:rPr>
          <w:rFonts w:ascii="Times New Roman" w:hAnsi="Times New Roman"/>
          <w:b/>
          <w:bCs/>
          <w:sz w:val="28"/>
          <w:szCs w:val="28"/>
        </w:rPr>
        <w:t>)</w:t>
      </w:r>
    </w:p>
    <w:p w:rsidR="000925C0" w:rsidRDefault="000925C0" w:rsidP="00167AF0">
      <w:pPr>
        <w:pStyle w:val="Standard"/>
        <w:suppressLineNumbers/>
        <w:spacing w:after="0" w:line="240" w:lineRule="auto"/>
        <w:jc w:val="both"/>
        <w:rPr>
          <w:rFonts w:ascii="Times New Roman" w:eastAsia="Times New Roman" w:hAnsi="Times New Roman" w:cs="Times New Roman"/>
          <w:sz w:val="28"/>
          <w:szCs w:val="28"/>
        </w:rPr>
      </w:pPr>
    </w:p>
    <w:p w:rsidR="000925C0" w:rsidRDefault="004F45D3" w:rsidP="00167AF0">
      <w:pPr>
        <w:pStyle w:val="Standard"/>
        <w:suppressLineNumbers/>
        <w:tabs>
          <w:tab w:val="left" w:pos="6300"/>
        </w:tabs>
        <w:spacing w:after="0" w:line="240" w:lineRule="auto"/>
        <w:jc w:val="both"/>
        <w:rPr>
          <w:rFonts w:ascii="Times New Roman" w:eastAsia="Times New Roman" w:hAnsi="Times New Roman" w:cs="Times New Roman"/>
          <w:sz w:val="28"/>
          <w:szCs w:val="28"/>
        </w:rPr>
      </w:pPr>
      <w:r>
        <w:rPr>
          <w:rFonts w:ascii="Times New Roman" w:hAnsi="Times New Roman"/>
          <w:sz w:val="28"/>
          <w:szCs w:val="28"/>
        </w:rPr>
        <w:t xml:space="preserve">Introduced by:                                                        </w:t>
      </w:r>
      <w:r w:rsidR="00A519BA">
        <w:rPr>
          <w:rFonts w:ascii="Times New Roman" w:hAnsi="Times New Roman"/>
          <w:sz w:val="28"/>
          <w:szCs w:val="28"/>
        </w:rPr>
        <w:t xml:space="preserve"> </w:t>
      </w:r>
      <w:r>
        <w:rPr>
          <w:rFonts w:ascii="Times New Roman" w:hAnsi="Times New Roman"/>
          <w:sz w:val="28"/>
          <w:szCs w:val="28"/>
        </w:rPr>
        <w:t xml:space="preserve">  Dennis G. Rodriguez, Jr.</w:t>
      </w:r>
    </w:p>
    <w:p w:rsidR="00A519BA" w:rsidRDefault="00A519BA" w:rsidP="00A519BA">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Joe S. San Agustin</w:t>
      </w:r>
    </w:p>
    <w:p w:rsidR="00FD11E2" w:rsidRDefault="00FD11E2" w:rsidP="00A519BA">
      <w:pPr>
        <w:pStyle w:val="Standard"/>
        <w:suppressLineNumbers/>
        <w:tabs>
          <w:tab w:val="right" w:pos="9360"/>
        </w:tabs>
        <w:spacing w:after="0" w:line="240" w:lineRule="auto"/>
        <w:jc w:val="right"/>
        <w:rPr>
          <w:rFonts w:ascii="Times New Roman" w:eastAsia="Times New Roman" w:hAnsi="Times New Roman" w:cs="Times New Roman"/>
          <w:sz w:val="28"/>
          <w:szCs w:val="28"/>
        </w:rPr>
      </w:pPr>
      <w:r w:rsidRPr="00FD11E2">
        <w:rPr>
          <w:rFonts w:ascii="Times New Roman" w:eastAsia="Times New Roman" w:hAnsi="Times New Roman" w:cs="Times New Roman"/>
          <w:sz w:val="28"/>
          <w:szCs w:val="28"/>
        </w:rPr>
        <w:t>Fernando B. Esteves</w:t>
      </w:r>
    </w:p>
    <w:p w:rsidR="00A519BA" w:rsidRDefault="00A519BA" w:rsidP="00A519BA">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Thomas A. Morrison</w:t>
      </w:r>
    </w:p>
    <w:p w:rsidR="00A519BA" w:rsidRDefault="00A519BA" w:rsidP="00A519BA">
      <w:pPr>
        <w:pStyle w:val="Standard"/>
        <w:suppressLineNumbers/>
        <w:tabs>
          <w:tab w:val="right" w:pos="9360"/>
        </w:tabs>
        <w:spacing w:after="0" w:line="240" w:lineRule="auto"/>
        <w:jc w:val="right"/>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sz w:val="28"/>
          <w:szCs w:val="28"/>
        </w:rPr>
        <w:t>FRANK B. AGUON, JR.</w:t>
      </w:r>
    </w:p>
    <w:p w:rsidR="00A519BA" w:rsidRDefault="00A519BA" w:rsidP="00A519BA">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William M. Castro</w:t>
      </w:r>
    </w:p>
    <w:p w:rsidR="00F86EF8" w:rsidRDefault="00F86EF8" w:rsidP="00A519BA">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Telena Cruz Nelson</w:t>
      </w:r>
    </w:p>
    <w:p w:rsidR="00F86EF8" w:rsidRDefault="00F86EF8" w:rsidP="00A519BA">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Louise Borja Muna</w:t>
      </w:r>
    </w:p>
    <w:p w:rsidR="000925C0" w:rsidRDefault="000925C0" w:rsidP="00167AF0">
      <w:pPr>
        <w:pStyle w:val="BodyA"/>
        <w:suppressLineNumbers/>
      </w:pPr>
    </w:p>
    <w:p w:rsidR="000925C0" w:rsidRDefault="000925C0" w:rsidP="00167AF0">
      <w:pPr>
        <w:pStyle w:val="BodyA"/>
        <w:suppressLineNumbers/>
      </w:pPr>
    </w:p>
    <w:p w:rsidR="000925C0" w:rsidRPr="00167AF0" w:rsidRDefault="004F45D3" w:rsidP="00167AF0">
      <w:pPr>
        <w:pStyle w:val="BodyA"/>
        <w:suppressLineNumbers/>
        <w:ind w:left="751" w:right="600"/>
        <w:jc w:val="both"/>
        <w:rPr>
          <w:rFonts w:ascii="Times New Roman" w:hAnsi="Times New Roman" w:cs="Times New Roman"/>
          <w:b/>
          <w:bCs/>
          <w:caps/>
          <w:sz w:val="28"/>
          <w:szCs w:val="28"/>
        </w:rPr>
      </w:pPr>
      <w:r w:rsidRPr="00167AF0">
        <w:rPr>
          <w:rFonts w:ascii="Times New Roman" w:hAnsi="Times New Roman" w:cs="Times New Roman"/>
          <w:b/>
          <w:bCs/>
          <w:sz w:val="28"/>
          <w:szCs w:val="28"/>
          <w:lang w:val="de-DE"/>
        </w:rPr>
        <w:t xml:space="preserve">AN ACT TO ADD A NEW </w:t>
      </w:r>
      <w:r w:rsidRPr="00167AF0">
        <w:rPr>
          <w:rFonts w:ascii="Times New Roman" w:hAnsi="Times New Roman" w:cs="Times New Roman"/>
          <w:b/>
          <w:bCs/>
          <w:sz w:val="28"/>
          <w:szCs w:val="28"/>
        </w:rPr>
        <w:t xml:space="preserve">§ 12805 (j) </w:t>
      </w:r>
      <w:r w:rsidRPr="00167AF0">
        <w:rPr>
          <w:rFonts w:ascii="Times New Roman" w:hAnsi="Times New Roman" w:cs="Times New Roman"/>
          <w:b/>
          <w:bCs/>
          <w:caps/>
          <w:sz w:val="28"/>
          <w:szCs w:val="28"/>
        </w:rPr>
        <w:t xml:space="preserve">to chapter 12, Part 1, Article 8 of Title 10, Guam code annotated, relative to </w:t>
      </w:r>
      <w:r w:rsidRPr="00167AF0">
        <w:rPr>
          <w:rFonts w:ascii="Times New Roman" w:hAnsi="Times New Roman" w:cs="Times New Roman"/>
          <w:b/>
          <w:bCs/>
          <w:caps/>
          <w:sz w:val="28"/>
          <w:szCs w:val="28"/>
          <w:lang w:val="de-DE"/>
        </w:rPr>
        <w:t>THE ESTABLISHMENT OF A MILITARY LIMITED VOLUNTEER MEDICAL LICENSE</w:t>
      </w:r>
      <w:r w:rsidRPr="00167AF0">
        <w:rPr>
          <w:rFonts w:ascii="Times New Roman" w:hAnsi="Times New Roman" w:cs="Times New Roman"/>
          <w:b/>
          <w:bCs/>
          <w:caps/>
          <w:sz w:val="28"/>
          <w:szCs w:val="28"/>
        </w:rPr>
        <w:t xml:space="preserve"> for Allied Health practitioners licensed with the guam-based military credentialing office to enable them to volunteer in the civilian community. </w:t>
      </w:r>
    </w:p>
    <w:p w:rsidR="000925C0" w:rsidRPr="00167AF0" w:rsidRDefault="000925C0">
      <w:pPr>
        <w:pStyle w:val="BodyA"/>
        <w:ind w:right="600"/>
        <w:jc w:val="both"/>
        <w:rPr>
          <w:rFonts w:ascii="Times New Roman" w:hAnsi="Times New Roman" w:cs="Times New Roman"/>
          <w:b/>
          <w:bCs/>
          <w:sz w:val="28"/>
          <w:szCs w:val="28"/>
        </w:rPr>
      </w:pPr>
    </w:p>
    <w:p w:rsidR="000925C0" w:rsidRPr="00167AF0" w:rsidRDefault="004F45D3">
      <w:pPr>
        <w:pStyle w:val="BodyA"/>
        <w:spacing w:line="360" w:lineRule="auto"/>
        <w:ind w:firstLine="720"/>
        <w:rPr>
          <w:rFonts w:ascii="Times New Roman" w:hAnsi="Times New Roman" w:cs="Times New Roman"/>
          <w:b/>
          <w:bCs/>
          <w:sz w:val="28"/>
          <w:szCs w:val="28"/>
          <w:lang w:val="de-DE"/>
        </w:rPr>
      </w:pPr>
      <w:r w:rsidRPr="00167AF0">
        <w:rPr>
          <w:rFonts w:ascii="Times New Roman" w:hAnsi="Times New Roman" w:cs="Times New Roman"/>
          <w:b/>
          <w:bCs/>
          <w:sz w:val="28"/>
          <w:szCs w:val="28"/>
          <w:lang w:val="de-DE"/>
        </w:rPr>
        <w:t>BE IT ENACTED BY THE PEOPLE OF GUAM:</w:t>
      </w:r>
    </w:p>
    <w:p w:rsidR="000925C0" w:rsidRPr="00167AF0" w:rsidRDefault="004F45D3">
      <w:pPr>
        <w:pStyle w:val="BodyA"/>
        <w:spacing w:line="360" w:lineRule="auto"/>
        <w:ind w:firstLine="720"/>
        <w:jc w:val="both"/>
        <w:rPr>
          <w:rFonts w:ascii="Times New Roman" w:hAnsi="Times New Roman" w:cs="Times New Roman"/>
          <w:sz w:val="28"/>
          <w:szCs w:val="28"/>
          <w:shd w:val="clear" w:color="auto" w:fill="FFFFFF"/>
        </w:rPr>
      </w:pPr>
      <w:r w:rsidRPr="00167AF0">
        <w:rPr>
          <w:rFonts w:ascii="Times New Roman" w:hAnsi="Times New Roman" w:cs="Times New Roman"/>
          <w:b/>
          <w:bCs/>
          <w:sz w:val="28"/>
          <w:szCs w:val="28"/>
        </w:rPr>
        <w:t>Section 1. Legislative Findings and Intent.</w:t>
      </w:r>
      <w:r w:rsidRPr="00167AF0">
        <w:rPr>
          <w:rFonts w:ascii="Times New Roman" w:hAnsi="Times New Roman" w:cs="Times New Roman"/>
          <w:sz w:val="28"/>
          <w:szCs w:val="28"/>
        </w:rPr>
        <w:t xml:space="preserve"> </w:t>
      </w:r>
      <w:r w:rsidRPr="00167AF0">
        <w:rPr>
          <w:rFonts w:ascii="Times New Roman" w:hAnsi="Times New Roman" w:cs="Times New Roman"/>
          <w:i/>
          <w:sz w:val="28"/>
          <w:szCs w:val="28"/>
        </w:rPr>
        <w:t>I Liheslaturan Guåhan</w:t>
      </w:r>
      <w:r w:rsidRPr="00167AF0">
        <w:rPr>
          <w:rFonts w:ascii="Times New Roman" w:hAnsi="Times New Roman" w:cs="Times New Roman"/>
          <w:sz w:val="28"/>
          <w:szCs w:val="28"/>
        </w:rPr>
        <w:t xml:space="preserve"> acknowledges that the military medical community has a long and proud continuing history on Guam and it is beneficial to continue this tradition of cooperation for the betterment of our people and the military community.  The </w:t>
      </w:r>
      <w:r w:rsidRPr="00167AF0">
        <w:rPr>
          <w:rFonts w:ascii="Times New Roman" w:hAnsi="Times New Roman" w:cs="Times New Roman"/>
          <w:sz w:val="28"/>
          <w:szCs w:val="28"/>
          <w:shd w:val="clear" w:color="auto" w:fill="FFFFFF"/>
        </w:rPr>
        <w:t xml:space="preserve">legacy of military medical personnel working in the Guam community is marked with many significant events that built the camaraderie we experience today. </w:t>
      </w:r>
    </w:p>
    <w:p w:rsidR="000925C0" w:rsidRPr="00167AF0" w:rsidRDefault="004F45D3">
      <w:pPr>
        <w:pStyle w:val="BodyA"/>
        <w:spacing w:line="360" w:lineRule="auto"/>
        <w:jc w:val="both"/>
        <w:rPr>
          <w:rFonts w:ascii="Times New Roman" w:hAnsi="Times New Roman" w:cs="Times New Roman"/>
          <w:sz w:val="28"/>
          <w:szCs w:val="28"/>
        </w:rPr>
      </w:pPr>
      <w:r w:rsidRPr="00167AF0">
        <w:rPr>
          <w:rFonts w:ascii="Times New Roman" w:hAnsi="Times New Roman" w:cs="Times New Roman"/>
          <w:sz w:val="28"/>
          <w:szCs w:val="28"/>
          <w:shd w:val="clear" w:color="auto" w:fill="FFFFFF"/>
        </w:rPr>
        <w:tab/>
      </w:r>
      <w:r w:rsidRPr="00167AF0">
        <w:rPr>
          <w:rFonts w:ascii="Times New Roman" w:hAnsi="Times New Roman" w:cs="Times New Roman"/>
          <w:i/>
          <w:sz w:val="28"/>
          <w:szCs w:val="28"/>
        </w:rPr>
        <w:t>I Liheslaturan</w:t>
      </w:r>
      <w:r w:rsidRPr="00167AF0">
        <w:rPr>
          <w:rFonts w:ascii="Times New Roman" w:hAnsi="Times New Roman" w:cs="Times New Roman"/>
          <w:i/>
        </w:rPr>
        <w:t xml:space="preserve"> </w:t>
      </w:r>
      <w:r w:rsidRPr="00167AF0">
        <w:rPr>
          <w:rFonts w:ascii="Times New Roman" w:hAnsi="Times New Roman" w:cs="Times New Roman"/>
          <w:i/>
          <w:sz w:val="28"/>
          <w:szCs w:val="28"/>
        </w:rPr>
        <w:t>Guåhan</w:t>
      </w:r>
      <w:r w:rsidRPr="00167AF0">
        <w:rPr>
          <w:rFonts w:ascii="Times New Roman" w:hAnsi="Times New Roman" w:cs="Times New Roman"/>
          <w:sz w:val="28"/>
          <w:szCs w:val="28"/>
        </w:rPr>
        <w:t xml:space="preserve"> further acknowledges that the Health Resources and Services Administration (HRSA) deems Guam as a Health Professional Shortage Area (HPSA).  The shortage of health care providers </w:t>
      </w:r>
      <w:r w:rsidRPr="00167AF0">
        <w:rPr>
          <w:rFonts w:ascii="Times New Roman" w:hAnsi="Times New Roman" w:cs="Times New Roman"/>
          <w:sz w:val="28"/>
          <w:szCs w:val="28"/>
        </w:rPr>
        <w:lastRenderedPageBreak/>
        <w:t xml:space="preserve">has significant impact on patients seeking medical care. Often times, this shortage cause delay in the treatment minor concerns that then exacerbate into greater concerns due to the lack of timely attention and thus results in greater anguish and cost for the patient.  The early identification of medical issues is proven time and again to effect the greatest possible outcome. </w:t>
      </w:r>
    </w:p>
    <w:p w:rsidR="000925C0" w:rsidRPr="00167AF0" w:rsidRDefault="004F45D3">
      <w:pPr>
        <w:pStyle w:val="BodyA"/>
        <w:spacing w:line="360" w:lineRule="auto"/>
        <w:jc w:val="both"/>
        <w:rPr>
          <w:rFonts w:ascii="Times New Roman" w:hAnsi="Times New Roman" w:cs="Times New Roman"/>
          <w:color w:val="424242"/>
          <w:sz w:val="28"/>
          <w:szCs w:val="28"/>
          <w:u w:color="424242"/>
        </w:rPr>
      </w:pPr>
      <w:r w:rsidRPr="00167AF0">
        <w:rPr>
          <w:rFonts w:ascii="Times New Roman" w:hAnsi="Times New Roman" w:cs="Times New Roman"/>
          <w:sz w:val="28"/>
          <w:szCs w:val="28"/>
        </w:rPr>
        <w:tab/>
        <w:t>It is therefore the intent of</w:t>
      </w:r>
      <w:r w:rsidRPr="00167AF0">
        <w:rPr>
          <w:rFonts w:ascii="Times New Roman" w:hAnsi="Times New Roman" w:cs="Times New Roman"/>
          <w:i/>
          <w:iCs/>
          <w:sz w:val="28"/>
          <w:szCs w:val="28"/>
        </w:rPr>
        <w:t xml:space="preserve"> I Liheslaturan Guåhan,</w:t>
      </w:r>
      <w:r w:rsidRPr="00167AF0">
        <w:rPr>
          <w:rFonts w:ascii="Times New Roman" w:hAnsi="Times New Roman" w:cs="Times New Roman"/>
          <w:sz w:val="28"/>
          <w:szCs w:val="28"/>
        </w:rPr>
        <w:t xml:space="preserve"> in recognizing the valuable contributions made by our military health care system and the recognized need to increase our provider base, to establish an expedited Military Limited Volunteer License within the Guam Board of Allied Health Examiners. This license is to make available, at no cost, to a practitioner who is authorized as a practitioner to treat personnel enlisted in a branch of the United States armed forces or veterans, and is limited to the practice of medicine for no compensation in clinics and outreach events that serve indigent populations.</w:t>
      </w:r>
    </w:p>
    <w:p w:rsidR="000925C0" w:rsidRPr="00167AF0" w:rsidRDefault="004F45D3">
      <w:pPr>
        <w:pStyle w:val="BodyA"/>
        <w:spacing w:line="360" w:lineRule="auto"/>
        <w:ind w:right="600"/>
        <w:jc w:val="both"/>
        <w:rPr>
          <w:rFonts w:ascii="Times New Roman" w:hAnsi="Times New Roman" w:cs="Times New Roman"/>
          <w:sz w:val="28"/>
          <w:szCs w:val="28"/>
        </w:rPr>
      </w:pPr>
      <w:r w:rsidRPr="00167AF0">
        <w:rPr>
          <w:rFonts w:ascii="Times New Roman" w:hAnsi="Times New Roman" w:cs="Times New Roman"/>
          <w:color w:val="424242"/>
          <w:sz w:val="28"/>
          <w:szCs w:val="28"/>
          <w:u w:color="424242"/>
        </w:rPr>
        <w:tab/>
      </w:r>
      <w:r w:rsidRPr="00167AF0">
        <w:rPr>
          <w:rFonts w:ascii="Times New Roman" w:hAnsi="Times New Roman" w:cs="Times New Roman"/>
          <w:b/>
          <w:bCs/>
          <w:sz w:val="28"/>
          <w:szCs w:val="28"/>
          <w:lang w:val="fr-FR"/>
        </w:rPr>
        <w:t>Section 2.</w:t>
      </w:r>
      <w:r w:rsidRPr="00167AF0">
        <w:rPr>
          <w:rFonts w:ascii="Times New Roman" w:hAnsi="Times New Roman" w:cs="Times New Roman"/>
          <w:sz w:val="28"/>
          <w:szCs w:val="28"/>
        </w:rPr>
        <w:t xml:space="preserve"> A new § 12805 (j) is added to Chapter 12, Part 1, Article 8, of Title 10, Guam Code Annotated, to read:</w:t>
      </w:r>
    </w:p>
    <w:p w:rsidR="000925C0" w:rsidRPr="00167AF0" w:rsidRDefault="004F45D3" w:rsidP="00167AF0">
      <w:pPr>
        <w:pStyle w:val="Body"/>
        <w:widowControl w:val="0"/>
        <w:spacing w:line="360" w:lineRule="auto"/>
        <w:ind w:firstLine="720"/>
        <w:jc w:val="both"/>
        <w:rPr>
          <w:rFonts w:eastAsia="Cambria"/>
          <w:b/>
          <w:bCs/>
          <w:sz w:val="28"/>
          <w:szCs w:val="28"/>
        </w:rPr>
      </w:pPr>
      <w:r w:rsidRPr="00167AF0">
        <w:rPr>
          <w:b/>
          <w:bCs/>
          <w:color w:val="424242"/>
          <w:u w:color="424242"/>
        </w:rPr>
        <w:t>"§</w:t>
      </w:r>
      <w:r w:rsidRPr="00167AF0">
        <w:rPr>
          <w:rFonts w:eastAsia="Cambria"/>
          <w:b/>
          <w:bCs/>
          <w:sz w:val="28"/>
          <w:szCs w:val="28"/>
        </w:rPr>
        <w:t xml:space="preserve"> 12805. Requirements for Licensure.</w:t>
      </w:r>
    </w:p>
    <w:p w:rsidR="000925C0" w:rsidRPr="00167AF0" w:rsidRDefault="004F45D3">
      <w:pPr>
        <w:pStyle w:val="Body"/>
        <w:widowControl w:val="0"/>
        <w:spacing w:line="360" w:lineRule="auto"/>
        <w:ind w:firstLine="720"/>
        <w:jc w:val="both"/>
        <w:rPr>
          <w:rFonts w:eastAsia="Cambria"/>
          <w:sz w:val="28"/>
          <w:szCs w:val="28"/>
        </w:rPr>
      </w:pPr>
      <w:r w:rsidRPr="00167AF0">
        <w:rPr>
          <w:rFonts w:eastAsia="Cambria"/>
          <w:sz w:val="28"/>
          <w:szCs w:val="28"/>
        </w:rPr>
        <w:t>(a) Information Requirement. Any Board furnished applications, official transcripts or other documentation, as required by the Board, shall be submitted in English or accompanied by an English translation and is sent directly to the Board from the appropriate institution or governing agency. The applicant shall provide the Board and attest to the following information and documentation in a manner required by the Board:</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(1) his or her full name and all aliases or other names ever used, current address, social security number, and date and place of birth;</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 xml:space="preserve">(2) recent, less than ninety (90) days, signed photograph, a set of fingerprints of the applicant, if requested, and a sample of </w:t>
      </w:r>
      <w:r w:rsidRPr="00167AF0">
        <w:rPr>
          <w:rFonts w:eastAsia="Cambria"/>
          <w:sz w:val="28"/>
          <w:szCs w:val="28"/>
        </w:rPr>
        <w:lastRenderedPageBreak/>
        <w:t>handwriting;</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(3) originals of all documents and credentials required by the Board, or notarized photocopies or other verification acceptable to the Board of such documents and credentials;</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(4) list of all jurisdictions, United States or foreign, in which the applicant is licensed or has applied for licensure to practice an allied health profession or is authorized or has applied for authorization to practice an allied health profession;</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(5) list of all jurisdictions, United States or foreign, in which the applicant has been denied licensure or authorization to practice an allied health profession or has voluntarily surrendered a license or an authorization to practice an allied health profession;</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(6) list of all sanctions, judgments, awards, settlements or convictions against the applicant in any jurisdiction, United States or foreign, that would constitute grounds for disciplinary action under the Allied Health Practice Act or the Board’s rules and regulations;</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(7) detailed educational history, including places, institutions, dates and program descriptions, of all his or her education, beginning with secondary schooling and including all college, pre-professional, professional and professional postgraduate education;</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(8) detailed chronological life history, including places and dates of residence, employment and military service, United States or foreign;</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(9) any other information or documentation the Board determines necessary; and</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(10) [Repealed.]</w:t>
      </w:r>
    </w:p>
    <w:p w:rsidR="000925C0" w:rsidRPr="00167AF0" w:rsidRDefault="004F45D3">
      <w:pPr>
        <w:pStyle w:val="Body"/>
        <w:widowControl w:val="0"/>
        <w:spacing w:line="360" w:lineRule="auto"/>
        <w:ind w:firstLine="720"/>
        <w:jc w:val="both"/>
        <w:rPr>
          <w:rFonts w:eastAsia="Cambria"/>
          <w:sz w:val="28"/>
          <w:szCs w:val="28"/>
        </w:rPr>
      </w:pPr>
      <w:r w:rsidRPr="00167AF0">
        <w:rPr>
          <w:rFonts w:eastAsia="Cambria"/>
          <w:sz w:val="28"/>
          <w:szCs w:val="28"/>
        </w:rPr>
        <w:t xml:space="preserve">(b) General Requirements. The applicant for licensure must present </w:t>
      </w:r>
      <w:r w:rsidRPr="00167AF0">
        <w:rPr>
          <w:rFonts w:eastAsia="Cambria"/>
          <w:sz w:val="28"/>
          <w:szCs w:val="28"/>
        </w:rPr>
        <w:lastRenderedPageBreak/>
        <w:t>the following to the Board:</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(1) evidence of proficiency in the English language, as determined by the Board;</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(2) evidence of professional education, training and experience, as required by the applicant’s area of discipline;</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(3) three (3) letters of recommendation, originals or notarized copies, one (1) of which must be a letter provided by  the applicant’s immediate supervisor of his or her most recent employer, or by a practice associate, if the applicant is in private practice;</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(4) a police clearance from the Guam Police Department if the applicant has resided on Guam for more than one (1) year; if the applicant has resided on Guam for less than one (1) year, a police clearance from the applicant’s most recent place of residence; and</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(5) [Repealed.]</w:t>
      </w:r>
    </w:p>
    <w:p w:rsidR="000925C0" w:rsidRPr="00167AF0" w:rsidRDefault="004F45D3">
      <w:pPr>
        <w:pStyle w:val="Body"/>
        <w:widowControl w:val="0"/>
        <w:spacing w:line="360" w:lineRule="auto"/>
        <w:ind w:firstLine="720"/>
        <w:jc w:val="both"/>
        <w:rPr>
          <w:rFonts w:eastAsia="Cambria"/>
          <w:sz w:val="28"/>
          <w:szCs w:val="28"/>
        </w:rPr>
      </w:pPr>
      <w:r w:rsidRPr="00167AF0">
        <w:rPr>
          <w:rFonts w:eastAsia="Cambria"/>
          <w:sz w:val="28"/>
          <w:szCs w:val="28"/>
        </w:rPr>
        <w:t>(c) Licensure By Endorsement. Applicants for licensure by endorsement must, in addition to the requirements of Subsections (a) and (b) of this Section, include a letter provided by the licensing authority describing all complaints filed and disciplinary actions, if any, taken against the applicant. The Board may issue a license to an applicant who shows evidence of current licensure in good standing by another jurisdiction of the United States; provided, that the licensing requirements are equivalent to the standards set forth and approved by the Board.</w:t>
      </w:r>
    </w:p>
    <w:p w:rsidR="000925C0" w:rsidRPr="00167AF0" w:rsidRDefault="004F45D3">
      <w:pPr>
        <w:pStyle w:val="Body"/>
        <w:widowControl w:val="0"/>
        <w:spacing w:line="360" w:lineRule="auto"/>
        <w:ind w:firstLine="720"/>
        <w:jc w:val="both"/>
        <w:rPr>
          <w:rFonts w:eastAsia="Cambria"/>
          <w:sz w:val="28"/>
          <w:szCs w:val="28"/>
        </w:rPr>
      </w:pPr>
      <w:r w:rsidRPr="00167AF0">
        <w:rPr>
          <w:rFonts w:eastAsia="Cambria"/>
          <w:sz w:val="28"/>
          <w:szCs w:val="28"/>
        </w:rPr>
        <w:t>(d) Applicant Responsibility. Each applicant shall be responsible for the following:</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(1) correspondence or communication with the Board;</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(2) periodically contacting the Board concerning the status of the application;</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lastRenderedPageBreak/>
        <w:t>(3) informing the Board in writing of intent to withdraw an application prior to the remittance of the applicable fee(s), a fee(s) remitted to the Board is non-refundable;</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(4) informing the Board of any change in name or address (An applicant whose name has changed shall submit a certified copy evidencing the change to the Board. The Board upon receipt of such evidence and the required fee shall issue a duplicate license with the name change. All license renewals will be sent to the current address on file.);</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(5) notifying the Board, in writing, of the loss of a current license (A duplicate license for the current renewal period shall be issued by the Board upon receipt of the required form and fee.);</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(6) keeping in the licensee’s possession a signed current Guam Board of Allied Health Examiners license; and</w:t>
      </w:r>
    </w:p>
    <w:p w:rsidR="000925C0" w:rsidRPr="00167AF0" w:rsidRDefault="004F45D3">
      <w:pPr>
        <w:pStyle w:val="Body"/>
        <w:widowControl w:val="0"/>
        <w:spacing w:line="360" w:lineRule="auto"/>
        <w:ind w:left="720" w:firstLine="720"/>
        <w:jc w:val="both"/>
        <w:rPr>
          <w:rFonts w:eastAsia="Cambria"/>
          <w:sz w:val="28"/>
          <w:szCs w:val="28"/>
        </w:rPr>
      </w:pPr>
      <w:r w:rsidRPr="00167AF0">
        <w:rPr>
          <w:rFonts w:eastAsia="Cambria"/>
          <w:sz w:val="28"/>
          <w:szCs w:val="28"/>
        </w:rPr>
        <w:t>(7) conspicuously displaying their licenses in all offices where they regularly practice.</w:t>
      </w:r>
    </w:p>
    <w:p w:rsidR="000925C0" w:rsidRPr="00167AF0" w:rsidRDefault="004F45D3">
      <w:pPr>
        <w:pStyle w:val="Body"/>
        <w:widowControl w:val="0"/>
        <w:spacing w:line="360" w:lineRule="auto"/>
        <w:ind w:firstLine="720"/>
        <w:jc w:val="both"/>
        <w:rPr>
          <w:rFonts w:eastAsia="Cambria"/>
          <w:sz w:val="28"/>
          <w:szCs w:val="28"/>
        </w:rPr>
      </w:pPr>
      <w:r w:rsidRPr="00167AF0">
        <w:rPr>
          <w:rFonts w:eastAsia="Cambria"/>
          <w:sz w:val="28"/>
          <w:szCs w:val="28"/>
        </w:rPr>
        <w:t>(e) The applicant shall be physically, mentally and professionally capable of practicing as an allied health profession in a manner acceptable to the Board, and should be required to submit to a physical, mental or professional competency examination, or a drug dependency evaluation, if deemed necessary by the Board.</w:t>
      </w:r>
    </w:p>
    <w:p w:rsidR="000925C0" w:rsidRPr="00167AF0" w:rsidRDefault="004F45D3">
      <w:pPr>
        <w:pStyle w:val="Body"/>
        <w:widowControl w:val="0"/>
        <w:spacing w:line="360" w:lineRule="auto"/>
        <w:ind w:firstLine="720"/>
        <w:jc w:val="both"/>
        <w:rPr>
          <w:rFonts w:eastAsia="Cambria"/>
          <w:sz w:val="28"/>
          <w:szCs w:val="28"/>
        </w:rPr>
      </w:pPr>
      <w:r w:rsidRPr="00167AF0">
        <w:rPr>
          <w:rFonts w:eastAsia="Cambria"/>
          <w:sz w:val="28"/>
          <w:szCs w:val="28"/>
        </w:rPr>
        <w:t>(f) The applicant shall not have been found guilty by a competent authority, United States or foreign, of any conduct that would constitute grounds for disciplinary action under the regulations of the Board or this Act. The Board should be authorized, at its discretion, to modify this restriction for cause, but it should be directed to use such discretionary authority in a consistent manner.</w:t>
      </w:r>
    </w:p>
    <w:p w:rsidR="000925C0" w:rsidRPr="00167AF0" w:rsidRDefault="004F45D3">
      <w:pPr>
        <w:pStyle w:val="Body"/>
        <w:widowControl w:val="0"/>
        <w:spacing w:line="360" w:lineRule="auto"/>
        <w:ind w:firstLine="720"/>
        <w:rPr>
          <w:rFonts w:eastAsia="Cambria"/>
          <w:sz w:val="28"/>
          <w:szCs w:val="28"/>
        </w:rPr>
      </w:pPr>
      <w:r w:rsidRPr="00167AF0">
        <w:rPr>
          <w:rFonts w:eastAsia="Cambria"/>
          <w:sz w:val="28"/>
          <w:szCs w:val="28"/>
        </w:rPr>
        <w:t>(g) The applicant may be requested to make a personal appearance before the Board or a representative thereof for interview, examination or review of credentials. At the discretion of the Board, the applicant should be required to present his or her original education credentials for inspection at the time of personal appearance.</w:t>
      </w:r>
    </w:p>
    <w:p w:rsidR="000925C0" w:rsidRPr="00167AF0" w:rsidRDefault="004F45D3">
      <w:pPr>
        <w:pStyle w:val="Body"/>
        <w:widowControl w:val="0"/>
        <w:spacing w:line="360" w:lineRule="auto"/>
        <w:ind w:firstLine="720"/>
        <w:rPr>
          <w:rFonts w:eastAsia="Cambria"/>
          <w:sz w:val="28"/>
          <w:szCs w:val="28"/>
        </w:rPr>
      </w:pPr>
      <w:r w:rsidRPr="00167AF0">
        <w:rPr>
          <w:rFonts w:eastAsia="Cambria"/>
          <w:sz w:val="28"/>
          <w:szCs w:val="28"/>
        </w:rPr>
        <w:t>(h) The applicant shall be held responsible for verifying to the satisfaction of the Board the validity of all credentials required for his or her licensure.</w:t>
      </w:r>
    </w:p>
    <w:p w:rsidR="000925C0" w:rsidRPr="00167AF0" w:rsidRDefault="004F45D3">
      <w:pPr>
        <w:pStyle w:val="Body"/>
        <w:widowControl w:val="0"/>
        <w:spacing w:line="360" w:lineRule="auto"/>
        <w:ind w:firstLine="720"/>
        <w:rPr>
          <w:rFonts w:eastAsia="Cambria"/>
          <w:sz w:val="28"/>
          <w:szCs w:val="28"/>
        </w:rPr>
      </w:pPr>
      <w:r w:rsidRPr="00167AF0">
        <w:rPr>
          <w:rFonts w:eastAsia="Cambria"/>
          <w:sz w:val="28"/>
          <w:szCs w:val="28"/>
        </w:rPr>
        <w:t>(i) The applicant shall have paid all fees and have completed and attested to the accuracy of all application and information forms required by the Board.</w:t>
      </w:r>
    </w:p>
    <w:p w:rsidR="000925C0" w:rsidRPr="00167AF0" w:rsidRDefault="004F45D3">
      <w:pPr>
        <w:pStyle w:val="Body"/>
        <w:widowControl w:val="0"/>
        <w:spacing w:line="360" w:lineRule="auto"/>
        <w:ind w:firstLine="720"/>
        <w:rPr>
          <w:rFonts w:eastAsia="Cambria"/>
          <w:sz w:val="28"/>
          <w:szCs w:val="28"/>
        </w:rPr>
      </w:pPr>
      <w:r w:rsidRPr="00167AF0">
        <w:rPr>
          <w:rFonts w:eastAsia="Cambria"/>
          <w:sz w:val="28"/>
          <w:szCs w:val="28"/>
        </w:rPr>
        <w:t>(j)</w:t>
      </w:r>
      <w:r w:rsidRPr="00167AF0">
        <w:rPr>
          <w:sz w:val="22"/>
          <w:szCs w:val="22"/>
        </w:rPr>
        <w:t xml:space="preserve"> </w:t>
      </w:r>
      <w:r w:rsidRPr="00167AF0">
        <w:rPr>
          <w:sz w:val="28"/>
          <w:szCs w:val="28"/>
          <w:u w:val="single"/>
        </w:rPr>
        <w:t xml:space="preserve">The Board is authorized to issue a military limited volunteer license to an applicant who: </w:t>
      </w:r>
    </w:p>
    <w:p w:rsidR="000925C0" w:rsidRPr="00167AF0" w:rsidRDefault="004F45D3">
      <w:pPr>
        <w:pStyle w:val="BodyA"/>
        <w:spacing w:line="360" w:lineRule="auto"/>
        <w:ind w:left="720" w:firstLine="720"/>
        <w:jc w:val="both"/>
        <w:rPr>
          <w:rFonts w:ascii="Times New Roman" w:hAnsi="Times New Roman" w:cs="Times New Roman"/>
          <w:sz w:val="28"/>
          <w:szCs w:val="28"/>
          <w:u w:val="single"/>
        </w:rPr>
      </w:pPr>
      <w:r w:rsidRPr="00167AF0">
        <w:rPr>
          <w:rFonts w:ascii="Times New Roman" w:hAnsi="Times New Roman" w:cs="Times New Roman"/>
          <w:sz w:val="28"/>
          <w:szCs w:val="28"/>
          <w:u w:val="single"/>
        </w:rPr>
        <w:t>(1) is licensed and in good standing as a allied healthcare provider  in another state;</w:t>
      </w:r>
    </w:p>
    <w:p w:rsidR="000925C0" w:rsidRPr="00167AF0" w:rsidRDefault="004F45D3">
      <w:pPr>
        <w:pStyle w:val="BodyA"/>
        <w:spacing w:line="360" w:lineRule="auto"/>
        <w:ind w:left="720" w:firstLine="720"/>
        <w:jc w:val="both"/>
        <w:rPr>
          <w:rFonts w:ascii="Times New Roman" w:hAnsi="Times New Roman" w:cs="Times New Roman"/>
          <w:sz w:val="28"/>
          <w:szCs w:val="28"/>
          <w:u w:val="single"/>
        </w:rPr>
      </w:pPr>
      <w:r w:rsidRPr="00167AF0">
        <w:rPr>
          <w:rFonts w:ascii="Times New Roman" w:hAnsi="Times New Roman" w:cs="Times New Roman"/>
          <w:sz w:val="28"/>
          <w:szCs w:val="28"/>
          <w:u w:val="single"/>
        </w:rPr>
        <w:t>(2) maintains their credentials within the military credentialing system and authorizes the Guam based Military Credentialing Office to provide to the Guam Board of Allied Health Examiners the required verification documents and Commander'</w:t>
      </w:r>
      <w:r w:rsidRPr="00167AF0">
        <w:rPr>
          <w:rFonts w:ascii="Times New Roman" w:hAnsi="Times New Roman" w:cs="Times New Roman"/>
          <w:sz w:val="28"/>
          <w:szCs w:val="28"/>
          <w:u w:val="single"/>
          <w:lang w:val="it-IT"/>
        </w:rPr>
        <w:t>s approval</w:t>
      </w:r>
      <w:r w:rsidRPr="00167AF0">
        <w:rPr>
          <w:rFonts w:ascii="Times New Roman" w:hAnsi="Times New Roman" w:cs="Times New Roman"/>
          <w:sz w:val="28"/>
          <w:szCs w:val="28"/>
          <w:u w:val="single"/>
        </w:rPr>
        <w:t>;</w:t>
      </w:r>
    </w:p>
    <w:p w:rsidR="000925C0" w:rsidRPr="00167AF0" w:rsidRDefault="004F45D3">
      <w:pPr>
        <w:pStyle w:val="BodyA"/>
        <w:spacing w:line="360" w:lineRule="auto"/>
        <w:ind w:left="720" w:firstLine="720"/>
        <w:jc w:val="both"/>
        <w:rPr>
          <w:rFonts w:ascii="Times New Roman" w:hAnsi="Times New Roman" w:cs="Times New Roman"/>
          <w:sz w:val="28"/>
          <w:szCs w:val="28"/>
          <w:u w:val="single"/>
        </w:rPr>
      </w:pPr>
      <w:r w:rsidRPr="00167AF0">
        <w:rPr>
          <w:rFonts w:ascii="Times New Roman" w:hAnsi="Times New Roman" w:cs="Times New Roman"/>
          <w:sz w:val="28"/>
          <w:szCs w:val="28"/>
          <w:u w:val="single"/>
        </w:rPr>
        <w:t>(3) agrees to be subject to board rules and regulations, including  those regarding disciplinary action, license registration and renewal, and continuing medical education.</w:t>
      </w:r>
    </w:p>
    <w:p w:rsidR="000925C0" w:rsidRPr="00167AF0" w:rsidRDefault="004F45D3">
      <w:pPr>
        <w:pStyle w:val="BodyA"/>
        <w:spacing w:line="360" w:lineRule="auto"/>
        <w:ind w:left="720" w:firstLine="720"/>
        <w:jc w:val="both"/>
        <w:rPr>
          <w:rFonts w:ascii="Times New Roman" w:hAnsi="Times New Roman" w:cs="Times New Roman"/>
          <w:sz w:val="28"/>
          <w:szCs w:val="28"/>
          <w:u w:val="single"/>
        </w:rPr>
      </w:pPr>
      <w:r w:rsidRPr="00167AF0">
        <w:rPr>
          <w:rFonts w:ascii="Times New Roman" w:hAnsi="Times New Roman" w:cs="Times New Roman"/>
          <w:sz w:val="28"/>
          <w:szCs w:val="28"/>
          <w:u w:val="single"/>
        </w:rPr>
        <w:t xml:space="preserve">(4) A military limited volunteer license shall be issued for a period of two (2) years at no charge to the applicant and may be renewed and maintained according to registration requirements as prescribed by the Board. </w:t>
      </w:r>
    </w:p>
    <w:p w:rsidR="000925C0" w:rsidRPr="00167AF0" w:rsidRDefault="004F45D3">
      <w:pPr>
        <w:pStyle w:val="BodyA"/>
        <w:spacing w:line="360" w:lineRule="auto"/>
        <w:ind w:left="720" w:firstLine="720"/>
        <w:jc w:val="both"/>
        <w:rPr>
          <w:rFonts w:ascii="Times New Roman" w:hAnsi="Times New Roman" w:cs="Times New Roman"/>
          <w:sz w:val="28"/>
          <w:szCs w:val="28"/>
          <w:u w:val="single"/>
        </w:rPr>
      </w:pPr>
      <w:r w:rsidRPr="00167AF0">
        <w:rPr>
          <w:rFonts w:ascii="Times New Roman" w:hAnsi="Times New Roman" w:cs="Times New Roman"/>
          <w:sz w:val="28"/>
          <w:szCs w:val="28"/>
          <w:u w:val="single"/>
        </w:rPr>
        <w:t xml:space="preserve">(5) The applicant who practices in the allied health fields on Guam under a license issued under this Section may only practice at a clinic or outreach event that primarily treats indigent populations and the practitioner does not receive direct or indirect compensation or payment of anything of monetary value in exchange for the medical services rendered by the practitioner to the indigent patients at the clinic or outreach event.  </w:t>
      </w:r>
    </w:p>
    <w:p w:rsidR="000925C0" w:rsidRPr="00167AF0" w:rsidRDefault="004F45D3">
      <w:pPr>
        <w:pStyle w:val="BodyA"/>
        <w:spacing w:line="360" w:lineRule="auto"/>
        <w:ind w:left="720" w:firstLine="720"/>
        <w:jc w:val="both"/>
        <w:rPr>
          <w:rFonts w:ascii="Times New Roman" w:hAnsi="Times New Roman" w:cs="Times New Roman"/>
          <w:sz w:val="28"/>
          <w:szCs w:val="28"/>
          <w:u w:val="single"/>
        </w:rPr>
      </w:pPr>
      <w:r w:rsidRPr="00167AF0">
        <w:rPr>
          <w:rFonts w:ascii="Times New Roman" w:hAnsi="Times New Roman" w:cs="Times New Roman"/>
          <w:sz w:val="28"/>
          <w:szCs w:val="28"/>
          <w:u w:val="single"/>
        </w:rPr>
        <w:t>(6) The license shall be in effect upon receipt of the application packet by the Guam Board of Allied Health Examiners, subject to final review. This presumptive eligibility for licensure is contingent upon the appropriate Military Commander’s permission allowing the practitioner to practice in the community and the appropriate collaborative sharing of information between the military credentialing office and the Guam Board of Allied Health Examiners."</w:t>
      </w:r>
    </w:p>
    <w:p w:rsidR="00167AF0" w:rsidRDefault="00167AF0">
      <w:pPr>
        <w:pStyle w:val="BodyA"/>
        <w:spacing w:line="360" w:lineRule="auto"/>
        <w:jc w:val="both"/>
        <w:rPr>
          <w:rFonts w:ascii="Times New Roman" w:hAnsi="Times New Roman" w:cs="Times New Roman"/>
        </w:rPr>
      </w:pPr>
    </w:p>
    <w:p w:rsidR="000925C0" w:rsidRPr="00167AF0" w:rsidRDefault="004F45D3">
      <w:pPr>
        <w:pStyle w:val="BodyA"/>
        <w:spacing w:line="360" w:lineRule="auto"/>
        <w:jc w:val="both"/>
        <w:rPr>
          <w:rFonts w:ascii="Times New Roman" w:hAnsi="Times New Roman" w:cs="Times New Roman"/>
        </w:rPr>
      </w:pPr>
      <w:r w:rsidRPr="00167AF0">
        <w:rPr>
          <w:rFonts w:ascii="Times New Roman" w:hAnsi="Times New Roman" w:cs="Times New Roman"/>
        </w:rPr>
        <w:tab/>
      </w:r>
      <w:r w:rsidRPr="00167AF0">
        <w:rPr>
          <w:rFonts w:ascii="Times New Roman" w:hAnsi="Times New Roman" w:cs="Times New Roman"/>
          <w:b/>
          <w:bCs/>
          <w:sz w:val="28"/>
          <w:szCs w:val="28"/>
        </w:rPr>
        <w:t>Section 3.  Severability.</w:t>
      </w:r>
      <w:r w:rsidRPr="00167AF0">
        <w:rPr>
          <w:rFonts w:ascii="Times New Roman" w:hAnsi="Times New Roman" w:cs="Times New Roman"/>
          <w:sz w:val="28"/>
          <w:szCs w:val="28"/>
        </w:rPr>
        <w:t xml:space="preserve">  If any provision of this Act or its application to any person or circumstance is found to be invalid or contrary to law, such invalidity shall not affect other provisions or applications of this Act which can be given effect without the invalid provisions or application, and to this end the provisions of this Act are severable.</w:t>
      </w:r>
    </w:p>
    <w:p w:rsidR="000925C0" w:rsidRPr="00167AF0" w:rsidRDefault="004F45D3">
      <w:pPr>
        <w:pStyle w:val="ListParagraph"/>
        <w:spacing w:before="240" w:line="360" w:lineRule="auto"/>
        <w:ind w:left="0" w:firstLine="720"/>
        <w:jc w:val="both"/>
        <w:rPr>
          <w:rFonts w:ascii="Times New Roman" w:hAnsi="Times New Roman" w:cs="Times New Roman"/>
        </w:rPr>
      </w:pPr>
      <w:r w:rsidRPr="00167AF0">
        <w:rPr>
          <w:rFonts w:ascii="Times New Roman" w:hAnsi="Times New Roman" w:cs="Times New Roman"/>
          <w:b/>
          <w:bCs/>
          <w:sz w:val="28"/>
          <w:szCs w:val="28"/>
        </w:rPr>
        <w:t>Section 4.  Effective Date.</w:t>
      </w:r>
      <w:r w:rsidRPr="00167AF0">
        <w:rPr>
          <w:rFonts w:ascii="Times New Roman" w:hAnsi="Times New Roman" w:cs="Times New Roman"/>
          <w:sz w:val="28"/>
          <w:szCs w:val="28"/>
        </w:rPr>
        <w:t xml:space="preserve">  This Act shall become immediately effective upon enactment.</w:t>
      </w:r>
    </w:p>
    <w:sectPr w:rsidR="000925C0" w:rsidRPr="00167AF0" w:rsidSect="00167AF0">
      <w:headerReference w:type="default" r:id="rId6"/>
      <w:footerReference w:type="default" r:id="rId7"/>
      <w:pgSz w:w="12240" w:h="15840"/>
      <w:pgMar w:top="1440" w:right="1800" w:bottom="1440" w:left="1800" w:header="720" w:footer="72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5D3" w:rsidRDefault="004F45D3">
      <w:r>
        <w:separator/>
      </w:r>
    </w:p>
  </w:endnote>
  <w:endnote w:type="continuationSeparator" w:id="0">
    <w:p w:rsidR="004F45D3" w:rsidRDefault="004F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C0" w:rsidRDefault="004F45D3">
    <w:pPr>
      <w:pStyle w:val="Footer"/>
      <w:tabs>
        <w:tab w:val="clear" w:pos="8640"/>
        <w:tab w:val="right" w:pos="8620"/>
      </w:tabs>
      <w:jc w:val="right"/>
    </w:pPr>
    <w:r>
      <w:fldChar w:fldCharType="begin"/>
    </w:r>
    <w:r>
      <w:instrText xml:space="preserve"> PAGE </w:instrText>
    </w:r>
    <w:r>
      <w:fldChar w:fldCharType="separate"/>
    </w:r>
    <w:r w:rsidR="001F4091">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5D3" w:rsidRDefault="004F45D3">
      <w:r>
        <w:separator/>
      </w:r>
    </w:p>
  </w:footnote>
  <w:footnote w:type="continuationSeparator" w:id="0">
    <w:p w:rsidR="004F45D3" w:rsidRDefault="004F45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C0" w:rsidRDefault="000925C0">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comments="0"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C0"/>
    <w:rsid w:val="000925C0"/>
    <w:rsid w:val="00167AF0"/>
    <w:rsid w:val="001F4091"/>
    <w:rsid w:val="004F45D3"/>
    <w:rsid w:val="00A519BA"/>
    <w:rsid w:val="00F86EF8"/>
    <w:rsid w:val="00FD1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2013B"/>
  <w15:docId w15:val="{941599D5-BD5B-436C-B37C-6D0AD17B9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Footer">
    <w:name w:val="footer"/>
    <w:pPr>
      <w:tabs>
        <w:tab w:val="center" w:pos="4320"/>
        <w:tab w:val="right" w:pos="8640"/>
      </w:tabs>
    </w:pPr>
    <w:rPr>
      <w:rFonts w:ascii="Cambria" w:eastAsia="Cambria" w:hAnsi="Cambria" w:cs="Cambria"/>
      <w:color w:val="000000"/>
      <w:sz w:val="24"/>
      <w:szCs w:val="24"/>
      <w:u w:color="000000"/>
    </w:rPr>
  </w:style>
  <w:style w:type="paragraph" w:customStyle="1" w:styleId="Standard">
    <w:name w:val="Standard"/>
    <w:pPr>
      <w:suppressAutoHyphens/>
      <w:spacing w:after="200" w:line="276" w:lineRule="auto"/>
    </w:pPr>
    <w:rPr>
      <w:rFonts w:ascii="Calibri" w:eastAsia="Calibri" w:hAnsi="Calibri" w:cs="Calibri"/>
      <w:color w:val="000000"/>
      <w:kern w:val="3"/>
      <w:sz w:val="22"/>
      <w:szCs w:val="22"/>
      <w:u w:color="000000"/>
    </w:rPr>
  </w:style>
  <w:style w:type="paragraph" w:customStyle="1" w:styleId="BodyA">
    <w:name w:val="Body A"/>
    <w:rPr>
      <w:rFonts w:ascii="Cambria" w:eastAsia="Cambria" w:hAnsi="Cambria" w:cs="Cambria"/>
      <w:color w:val="000000"/>
      <w:sz w:val="24"/>
      <w:szCs w:val="24"/>
      <w:u w:color="000000"/>
    </w:rPr>
  </w:style>
  <w:style w:type="paragraph" w:customStyle="1" w:styleId="Body">
    <w:name w:val="Body"/>
    <w:rPr>
      <w:rFonts w:eastAsia="Times New Roman"/>
      <w:color w:val="000000"/>
      <w:sz w:val="24"/>
      <w:szCs w:val="24"/>
      <w:u w:color="000000"/>
    </w:rPr>
  </w:style>
  <w:style w:type="paragraph" w:styleId="ListParagraph">
    <w:name w:val="List Paragraph"/>
    <w:pPr>
      <w:suppressAutoHyphens/>
      <w:spacing w:after="200" w:line="276" w:lineRule="auto"/>
      <w:ind w:left="720"/>
    </w:pPr>
    <w:rPr>
      <w:rFonts w:ascii="Calibri" w:eastAsia="Calibri" w:hAnsi="Calibri" w:cs="Calibri"/>
      <w:color w:val="000000"/>
      <w:kern w:val="3"/>
      <w:sz w:val="22"/>
      <w:szCs w:val="22"/>
      <w:u w:color="000000"/>
    </w:rPr>
  </w:style>
  <w:style w:type="character" w:styleId="LineNumber">
    <w:name w:val="line number"/>
    <w:basedOn w:val="DefaultParagraphFont"/>
    <w:uiPriority w:val="99"/>
    <w:semiHidden/>
    <w:unhideWhenUsed/>
    <w:rsid w:val="00167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1597</Words>
  <Characters>9107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TODUGU11</dc:creator>
  <cp:lastModifiedBy>clerkoffice2</cp:lastModifiedBy>
  <cp:revision>2</cp:revision>
  <dcterms:created xsi:type="dcterms:W3CDTF">2017-06-24T01:08:00Z</dcterms:created>
  <dcterms:modified xsi:type="dcterms:W3CDTF">2017-06-24T01:08:00Z</dcterms:modified>
</cp:coreProperties>
</file>